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000EEC" w14:textId="77777777" w:rsidR="00050521" w:rsidRPr="00256D7C" w:rsidRDefault="00050521" w:rsidP="00050521">
      <w:pPr>
        <w:jc w:val="center"/>
        <w:rPr>
          <w:rFonts w:ascii="Wawati TC Regular" w:eastAsia="Wawati TC Regular" w:hAnsi="Wawati TC Regular" w:cs="Didot"/>
          <w:b/>
          <w:sz w:val="22"/>
        </w:rPr>
      </w:pPr>
      <w:r w:rsidRPr="00256D7C">
        <w:rPr>
          <w:rFonts w:ascii="Wawati TC Regular" w:eastAsia="Wawati TC Regular" w:hAnsi="Wawati TC Regular" w:cs="Didot"/>
          <w:b/>
          <w:sz w:val="20"/>
        </w:rPr>
        <w:t>Sciences Economiques et Sociales – Première ES – 1ES2 – LAB 2015-2016 - MY</w:t>
      </w:r>
    </w:p>
    <w:p w14:paraId="5D495C7C" w14:textId="77777777" w:rsidR="00050521" w:rsidRPr="00310548" w:rsidRDefault="00050521" w:rsidP="00050521">
      <w:pPr>
        <w:rPr>
          <w:rFonts w:ascii="Wawati TC Regular" w:eastAsia="Wawati TC Regular" w:hAnsi="Wawati TC Regular" w:cs="Didot"/>
        </w:rPr>
      </w:pPr>
    </w:p>
    <w:p w14:paraId="626DD856" w14:textId="77777777" w:rsidR="00310548" w:rsidRPr="00310548" w:rsidRDefault="00310548" w:rsidP="00050521">
      <w:pPr>
        <w:rPr>
          <w:rFonts w:ascii="Wawati TC Regular" w:eastAsia="Wawati TC Regular" w:hAnsi="Wawati TC Regular" w:cs="Didot"/>
        </w:rPr>
      </w:pPr>
    </w:p>
    <w:p w14:paraId="2B114C89" w14:textId="77777777" w:rsidR="00050521" w:rsidRPr="00310548" w:rsidRDefault="00050521" w:rsidP="00050521">
      <w:pPr>
        <w:jc w:val="center"/>
        <w:rPr>
          <w:rFonts w:ascii="Wawati TC Regular" w:eastAsia="Wawati TC Regular" w:hAnsi="Wawati TC Regular" w:cs="Didot"/>
          <w:b/>
          <w:sz w:val="32"/>
        </w:rPr>
      </w:pPr>
      <w:r w:rsidRPr="00310548">
        <w:rPr>
          <w:rFonts w:ascii="Wawati TC Regular" w:eastAsia="Wawati TC Regular" w:hAnsi="Wawati TC Regular" w:cs="Didot"/>
          <w:b/>
          <w:sz w:val="32"/>
        </w:rPr>
        <w:t>EVALUATION D’ECONOMIE</w:t>
      </w:r>
    </w:p>
    <w:p w14:paraId="51B1EFD2" w14:textId="77777777" w:rsidR="00050521" w:rsidRPr="00310548" w:rsidRDefault="00050521" w:rsidP="00050521">
      <w:pPr>
        <w:jc w:val="center"/>
        <w:rPr>
          <w:rFonts w:ascii="Wawati TC Regular" w:eastAsia="Wawati TC Regular" w:hAnsi="Wawati TC Regular" w:cs="Didot"/>
          <w:b/>
          <w:sz w:val="22"/>
        </w:rPr>
      </w:pPr>
      <w:r w:rsidRPr="00310548">
        <w:rPr>
          <w:rFonts w:ascii="Wawati TC Regular" w:eastAsia="Wawati TC Regular" w:hAnsi="Wawati TC Regular" w:cs="Didot"/>
          <w:b/>
        </w:rPr>
        <w:t>Devoir N° 1 jeudi 15 octobre 2015</w:t>
      </w:r>
    </w:p>
    <w:p w14:paraId="324A3324" w14:textId="77777777" w:rsidR="00050521" w:rsidRPr="00310548" w:rsidRDefault="00050521" w:rsidP="00050521">
      <w:pPr>
        <w:rPr>
          <w:rFonts w:ascii="Wawati TC Regular" w:eastAsia="Wawati TC Regular" w:hAnsi="Wawati TC Regular" w:cs="Didot"/>
          <w:i/>
          <w:sz w:val="20"/>
          <w:szCs w:val="20"/>
        </w:rPr>
      </w:pPr>
    </w:p>
    <w:p w14:paraId="6398BC79" w14:textId="77777777" w:rsidR="00050521" w:rsidRDefault="00050521" w:rsidP="00050521">
      <w:pPr>
        <w:jc w:val="right"/>
        <w:rPr>
          <w:rFonts w:ascii="Wawati TC Regular" w:eastAsia="Wawati TC Regular" w:hAnsi="Wawati TC Regular" w:cs="Didot"/>
          <w:sz w:val="20"/>
          <w:szCs w:val="20"/>
        </w:rPr>
      </w:pPr>
    </w:p>
    <w:p w14:paraId="2E3B4821" w14:textId="77777777" w:rsidR="00256D7C" w:rsidRPr="00310548" w:rsidRDefault="00256D7C" w:rsidP="00050521">
      <w:pPr>
        <w:jc w:val="right"/>
        <w:rPr>
          <w:rFonts w:ascii="Wawati TC Regular" w:eastAsia="Wawati TC Regular" w:hAnsi="Wawati TC Regular" w:cs="Didot"/>
          <w:sz w:val="20"/>
          <w:szCs w:val="20"/>
        </w:rPr>
      </w:pPr>
    </w:p>
    <w:p w14:paraId="75836A56" w14:textId="77777777" w:rsidR="00050521" w:rsidRPr="00256D7C" w:rsidRDefault="008B4E95" w:rsidP="00050521">
      <w:pPr>
        <w:jc w:val="right"/>
        <w:rPr>
          <w:rFonts w:ascii="Wawati TC Regular" w:eastAsia="Wawati TC Regular" w:hAnsi="Wawati TC Regular" w:cs="Didot"/>
          <w:b/>
          <w:sz w:val="20"/>
          <w:szCs w:val="20"/>
        </w:rPr>
      </w:pPr>
      <w:r w:rsidRPr="00256D7C">
        <w:rPr>
          <w:rFonts w:ascii="Wawati TC Regular" w:eastAsia="Wawati TC Regular" w:hAnsi="Wawati TC Regular" w:cs="Didot"/>
          <w:b/>
          <w:sz w:val="20"/>
          <w:szCs w:val="20"/>
        </w:rPr>
        <w:t>Durée de l’épreuve : 2</w:t>
      </w:r>
      <w:r w:rsidR="00050521" w:rsidRPr="00256D7C">
        <w:rPr>
          <w:rFonts w:ascii="Wawati TC Regular" w:eastAsia="Wawati TC Regular" w:hAnsi="Wawati TC Regular" w:cs="Didot"/>
          <w:b/>
          <w:sz w:val="20"/>
          <w:szCs w:val="20"/>
        </w:rPr>
        <w:t xml:space="preserve"> heure</w:t>
      </w:r>
      <w:r w:rsidRPr="00256D7C">
        <w:rPr>
          <w:rFonts w:ascii="Wawati TC Regular" w:eastAsia="Wawati TC Regular" w:hAnsi="Wawati TC Regular" w:cs="Didot"/>
          <w:b/>
          <w:sz w:val="20"/>
          <w:szCs w:val="20"/>
        </w:rPr>
        <w:t>s</w:t>
      </w:r>
    </w:p>
    <w:p w14:paraId="2BF2E949" w14:textId="30A173B7" w:rsidR="00EA2E8C" w:rsidRPr="00256D7C" w:rsidRDefault="00EA2E8C" w:rsidP="00050521">
      <w:pPr>
        <w:jc w:val="right"/>
        <w:rPr>
          <w:rFonts w:ascii="Wawati TC Regular" w:eastAsia="Wawati TC Regular" w:hAnsi="Wawati TC Regular" w:cs="Didot"/>
          <w:b/>
          <w:sz w:val="18"/>
          <w:szCs w:val="20"/>
        </w:rPr>
      </w:pPr>
      <w:r w:rsidRPr="00256D7C">
        <w:rPr>
          <w:rFonts w:ascii="Wawati TC Regular" w:eastAsia="Wawati TC Regular" w:hAnsi="Wawati TC Regular" w:cs="Didot"/>
          <w:b/>
          <w:sz w:val="20"/>
          <w:szCs w:val="20"/>
        </w:rPr>
        <w:t>Ce sujet comporte : 2 pages</w:t>
      </w:r>
    </w:p>
    <w:p w14:paraId="4D935329" w14:textId="77777777" w:rsidR="00310548" w:rsidRDefault="00310548" w:rsidP="00050521">
      <w:pPr>
        <w:rPr>
          <w:rFonts w:ascii="Wawati TC Regular" w:eastAsia="Wawati TC Regular" w:hAnsi="Wawati TC Regular" w:cs="Didot"/>
          <w:i/>
          <w:sz w:val="20"/>
          <w:szCs w:val="20"/>
        </w:rPr>
      </w:pPr>
    </w:p>
    <w:p w14:paraId="103722B6" w14:textId="77777777" w:rsidR="00256D7C" w:rsidRDefault="00256D7C" w:rsidP="00050521">
      <w:pPr>
        <w:rPr>
          <w:rFonts w:ascii="Wawati TC Regular" w:eastAsia="Wawati TC Regular" w:hAnsi="Wawati TC Regular" w:cs="Didot"/>
          <w:i/>
          <w:sz w:val="20"/>
          <w:szCs w:val="20"/>
        </w:rPr>
      </w:pPr>
    </w:p>
    <w:p w14:paraId="27EA37B8" w14:textId="77777777" w:rsidR="00050521" w:rsidRPr="00310548" w:rsidRDefault="00050521" w:rsidP="00050521">
      <w:pPr>
        <w:rPr>
          <w:rFonts w:ascii="Wawati TC Regular" w:eastAsia="Wawati TC Regular" w:hAnsi="Wawati TC Regular" w:cs="Didot"/>
          <w:i/>
          <w:sz w:val="20"/>
          <w:szCs w:val="20"/>
        </w:rPr>
      </w:pPr>
      <w:r w:rsidRPr="00310548">
        <w:rPr>
          <w:rFonts w:ascii="Wawati TC Regular" w:eastAsia="Wawati TC Regular" w:hAnsi="Wawati TC Regular" w:cs="Didot"/>
          <w:i/>
          <w:sz w:val="20"/>
          <w:szCs w:val="20"/>
        </w:rPr>
        <w:t>Portant sur :</w:t>
      </w:r>
    </w:p>
    <w:p w14:paraId="5F684FEE" w14:textId="77777777" w:rsidR="00050521" w:rsidRPr="00310548" w:rsidRDefault="00050521" w:rsidP="00050521">
      <w:pPr>
        <w:rPr>
          <w:rFonts w:ascii="Wawati TC Regular" w:eastAsia="Wawati TC Regular" w:hAnsi="Wawati TC Regular" w:cs="Didot"/>
          <w:i/>
          <w:sz w:val="20"/>
          <w:szCs w:val="20"/>
        </w:rPr>
      </w:pPr>
      <w:r w:rsidRPr="00310548">
        <w:rPr>
          <w:rFonts w:ascii="Wawati TC Regular" w:eastAsia="Wawati TC Regular" w:hAnsi="Wawati TC Regular" w:cs="Didot"/>
          <w:i/>
          <w:sz w:val="20"/>
          <w:szCs w:val="20"/>
        </w:rPr>
        <w:t>Chapitre I : les grandes questions que se posent les économistes</w:t>
      </w:r>
    </w:p>
    <w:p w14:paraId="3FCF3F3E" w14:textId="77777777" w:rsidR="00050521" w:rsidRPr="00310548" w:rsidRDefault="00050521" w:rsidP="00050521">
      <w:pPr>
        <w:pStyle w:val="Paragraphedeliste"/>
        <w:numPr>
          <w:ilvl w:val="0"/>
          <w:numId w:val="1"/>
        </w:numPr>
        <w:rPr>
          <w:rFonts w:ascii="Wawati TC Regular" w:eastAsia="Wawati TC Regular" w:hAnsi="Wawati TC Regular" w:cs="Didot"/>
          <w:i/>
          <w:sz w:val="20"/>
          <w:szCs w:val="20"/>
        </w:rPr>
      </w:pPr>
      <w:r w:rsidRPr="00310548">
        <w:rPr>
          <w:rFonts w:ascii="Wawati TC Regular" w:eastAsia="Wawati TC Regular" w:hAnsi="Wawati TC Regular" w:cs="Didot"/>
          <w:i/>
          <w:sz w:val="20"/>
          <w:szCs w:val="20"/>
        </w:rPr>
        <w:t>Comment faire des choix dans un monde aux ressources limitées ?</w:t>
      </w:r>
    </w:p>
    <w:p w14:paraId="0CBA08F0" w14:textId="77777777" w:rsidR="00050521" w:rsidRPr="00310548" w:rsidRDefault="00050521" w:rsidP="00050521">
      <w:pPr>
        <w:pStyle w:val="Paragraphedeliste"/>
        <w:numPr>
          <w:ilvl w:val="0"/>
          <w:numId w:val="1"/>
        </w:numPr>
        <w:rPr>
          <w:rFonts w:ascii="Wawati TC Regular" w:eastAsia="Wawati TC Regular" w:hAnsi="Wawati TC Regular" w:cs="Didot"/>
          <w:i/>
          <w:sz w:val="20"/>
          <w:szCs w:val="20"/>
        </w:rPr>
      </w:pPr>
      <w:r w:rsidRPr="00310548">
        <w:rPr>
          <w:rFonts w:ascii="Wawati TC Regular" w:eastAsia="Wawati TC Regular" w:hAnsi="Wawati TC Regular" w:cs="Didot"/>
          <w:i/>
          <w:sz w:val="20"/>
          <w:szCs w:val="20"/>
        </w:rPr>
        <w:t>Que produit-on et comment le mesure-t-on ?</w:t>
      </w:r>
    </w:p>
    <w:p w14:paraId="57F5A9BD" w14:textId="77777777" w:rsidR="00050521" w:rsidRPr="00310548" w:rsidRDefault="00050521">
      <w:pPr>
        <w:rPr>
          <w:rFonts w:ascii="Wawati TC Regular" w:eastAsia="Wawati TC Regular" w:hAnsi="Wawati TC Regular" w:cs="Didot"/>
        </w:rPr>
      </w:pPr>
    </w:p>
    <w:p w14:paraId="067DAD9A" w14:textId="77777777" w:rsidR="00310548" w:rsidRPr="00310548" w:rsidRDefault="00310548">
      <w:pPr>
        <w:rPr>
          <w:rFonts w:ascii="Wawati TC Regular" w:eastAsia="Wawati TC Regular" w:hAnsi="Wawati TC Regular" w:cs="Didot"/>
        </w:rPr>
      </w:pPr>
    </w:p>
    <w:p w14:paraId="1E799CAD" w14:textId="77777777" w:rsidR="00050521" w:rsidRPr="00310548" w:rsidRDefault="00050521" w:rsidP="00050521">
      <w:pPr>
        <w:spacing w:line="276" w:lineRule="auto"/>
        <w:jc w:val="center"/>
        <w:rPr>
          <w:rFonts w:ascii="Wawati TC Regular" w:eastAsia="Wawati TC Regular" w:hAnsi="Wawati TC Regular" w:cs="Didot"/>
          <w:b/>
          <w:sz w:val="32"/>
          <w:szCs w:val="28"/>
        </w:rPr>
      </w:pPr>
      <w:r w:rsidRPr="00310548">
        <w:rPr>
          <w:rFonts w:ascii="Wawati TC Regular" w:eastAsia="Wawati TC Regular" w:hAnsi="Wawati TC Regular" w:cs="Didot"/>
          <w:b/>
          <w:sz w:val="32"/>
          <w:szCs w:val="28"/>
        </w:rPr>
        <w:t>SUJET TYPE BACCALAUREAT</w:t>
      </w:r>
    </w:p>
    <w:p w14:paraId="3A7C6760" w14:textId="77777777" w:rsidR="00050521" w:rsidRPr="00310548" w:rsidRDefault="00050521" w:rsidP="00050521">
      <w:pPr>
        <w:spacing w:line="276" w:lineRule="auto"/>
        <w:jc w:val="center"/>
        <w:rPr>
          <w:rFonts w:ascii="Wawati TC Regular" w:eastAsia="Wawati TC Regular" w:hAnsi="Wawati TC Regular" w:cs="Didot"/>
          <w:b/>
          <w:sz w:val="32"/>
          <w:szCs w:val="28"/>
        </w:rPr>
      </w:pPr>
      <w:r w:rsidRPr="00310548">
        <w:rPr>
          <w:rFonts w:ascii="Wawati TC Regular" w:eastAsia="Wawati TC Regular" w:hAnsi="Wawati TC Regular" w:cs="Didot"/>
          <w:b/>
          <w:sz w:val="32"/>
          <w:szCs w:val="28"/>
        </w:rPr>
        <w:t>Epreuve composée</w:t>
      </w:r>
    </w:p>
    <w:p w14:paraId="51968F23" w14:textId="77777777" w:rsidR="00310548" w:rsidRDefault="00310548" w:rsidP="00050521">
      <w:pPr>
        <w:spacing w:line="276" w:lineRule="auto"/>
        <w:jc w:val="center"/>
        <w:rPr>
          <w:rFonts w:ascii="Wawati TC Regular" w:eastAsia="Wawati TC Regular" w:hAnsi="Wawati TC Regular" w:cs="Didot"/>
          <w:b/>
          <w:sz w:val="28"/>
          <w:szCs w:val="28"/>
        </w:rPr>
      </w:pPr>
    </w:p>
    <w:p w14:paraId="17FE1393" w14:textId="77777777" w:rsidR="00310548" w:rsidRDefault="00310548" w:rsidP="00310548">
      <w:pPr>
        <w:spacing w:line="276" w:lineRule="auto"/>
        <w:rPr>
          <w:rFonts w:ascii="Wawati TC Regular" w:eastAsia="Wawati TC Regular" w:hAnsi="Wawati TC Regular" w:cs="Didot"/>
          <w:b/>
          <w:sz w:val="28"/>
          <w:szCs w:val="28"/>
        </w:rPr>
      </w:pPr>
    </w:p>
    <w:p w14:paraId="0941AA6C" w14:textId="77777777" w:rsidR="00050521" w:rsidRPr="00310548" w:rsidRDefault="00050521" w:rsidP="00310548">
      <w:pPr>
        <w:spacing w:line="276" w:lineRule="auto"/>
        <w:rPr>
          <w:rFonts w:ascii="Wawati TC Regular" w:eastAsia="Wawati TC Regular" w:hAnsi="Wawati TC Regular" w:cs="Didot"/>
          <w:b/>
          <w:sz w:val="28"/>
          <w:szCs w:val="28"/>
        </w:rPr>
      </w:pPr>
      <w:r w:rsidRPr="00310548">
        <w:rPr>
          <w:rFonts w:ascii="Wawati TC Regular" w:eastAsia="Wawati TC Regular" w:hAnsi="Wawati TC Regular" w:cs="Didot"/>
          <w:b/>
          <w:sz w:val="28"/>
          <w:szCs w:val="28"/>
        </w:rPr>
        <w:t>Première partie : mobilisation des connaissances</w:t>
      </w:r>
      <w:r w:rsidR="00310548">
        <w:rPr>
          <w:rFonts w:ascii="Wawati TC Regular" w:eastAsia="Wawati TC Regular" w:hAnsi="Wawati TC Regular" w:cs="Didot"/>
          <w:b/>
          <w:sz w:val="28"/>
          <w:szCs w:val="28"/>
        </w:rPr>
        <w:t xml:space="preserve"> </w:t>
      </w:r>
      <w:r w:rsidR="00310548">
        <w:rPr>
          <w:rFonts w:ascii="Wawati TC Regular" w:eastAsia="Wawati TC Regular" w:hAnsi="Wawati TC Regular" w:cs="Didot"/>
          <w:b/>
          <w:i/>
          <w:sz w:val="28"/>
          <w:szCs w:val="28"/>
        </w:rPr>
        <w:t>(6 points)</w:t>
      </w:r>
    </w:p>
    <w:p w14:paraId="3733B7AB" w14:textId="77777777" w:rsidR="00310548" w:rsidRPr="00310548" w:rsidRDefault="00310548" w:rsidP="00310548">
      <w:pPr>
        <w:spacing w:line="276" w:lineRule="auto"/>
        <w:rPr>
          <w:rFonts w:ascii="Wawati TC Regular" w:eastAsia="Wawati TC Regular" w:hAnsi="Wawati TC Regular" w:cs="Didot"/>
          <w:b/>
          <w:sz w:val="22"/>
          <w:szCs w:val="28"/>
        </w:rPr>
      </w:pPr>
    </w:p>
    <w:p w14:paraId="5619EB12" w14:textId="77777777" w:rsidR="00050521" w:rsidRPr="00310548" w:rsidRDefault="00050521" w:rsidP="00050521">
      <w:pPr>
        <w:jc w:val="both"/>
        <w:rPr>
          <w:rFonts w:ascii="Wawati TC Regular" w:eastAsia="Wawati TC Regular" w:hAnsi="Wawati TC Regular" w:cs="Didot"/>
          <w:i/>
          <w:sz w:val="22"/>
        </w:rPr>
      </w:pPr>
      <w:r w:rsidRPr="00310548">
        <w:rPr>
          <w:rFonts w:ascii="Wawati TC Regular" w:eastAsia="Wawati TC Regular" w:hAnsi="Wawati TC Regular" w:cs="Didot"/>
          <w:i/>
          <w:sz w:val="22"/>
        </w:rPr>
        <w:t>Il est demandé au candidat de répondre aux questions en faisant appel à ses connaissances personnelles dans le cadre du programme de l’enseignement obligatoire.</w:t>
      </w:r>
    </w:p>
    <w:p w14:paraId="3B5BE41C" w14:textId="77777777" w:rsidR="00310548" w:rsidRPr="00310548" w:rsidRDefault="00310548">
      <w:pPr>
        <w:rPr>
          <w:rFonts w:ascii="Wawati TC Regular" w:eastAsia="Wawati TC Regular" w:hAnsi="Wawati TC Regular" w:cs="Didot"/>
        </w:rPr>
      </w:pPr>
    </w:p>
    <w:p w14:paraId="4F4AE674" w14:textId="77777777" w:rsidR="00310548" w:rsidRDefault="00310548">
      <w:pPr>
        <w:rPr>
          <w:rFonts w:ascii="Wawati TC Regular" w:eastAsia="Wawati TC Regular" w:hAnsi="Wawati TC Regular" w:cs="Didot"/>
        </w:rPr>
      </w:pPr>
    </w:p>
    <w:p w14:paraId="0777D9A5" w14:textId="77777777" w:rsidR="00490EE7" w:rsidRPr="00310548" w:rsidRDefault="00490EE7">
      <w:pPr>
        <w:rPr>
          <w:rFonts w:ascii="Wawati TC Regular" w:eastAsia="Wawati TC Regular" w:hAnsi="Wawati TC Regular" w:cs="Didot"/>
        </w:rPr>
      </w:pPr>
    </w:p>
    <w:p w14:paraId="1BE538D4" w14:textId="77777777" w:rsidR="00310548" w:rsidRPr="00310548" w:rsidRDefault="00310548" w:rsidP="00310548">
      <w:pPr>
        <w:pStyle w:val="Paragraphedeliste"/>
        <w:numPr>
          <w:ilvl w:val="0"/>
          <w:numId w:val="4"/>
        </w:numPr>
        <w:ind w:left="709"/>
        <w:rPr>
          <w:rFonts w:ascii="Wawati TC Regular" w:eastAsia="Wawati TC Regular" w:hAnsi="Wawati TC Regular" w:cs="Didot"/>
          <w:sz w:val="32"/>
          <w:szCs w:val="28"/>
        </w:rPr>
      </w:pPr>
      <w:r w:rsidRPr="00310548">
        <w:rPr>
          <w:rFonts w:ascii="Wawati TC Regular" w:eastAsia="Wawati TC Regular" w:hAnsi="Wawati TC Regular" w:cs="Didot"/>
          <w:sz w:val="32"/>
          <w:szCs w:val="28"/>
        </w:rPr>
        <w:t xml:space="preserve">Vous expliquerez pourquoi, selon les économistes, les individus doivent faire des choix. </w:t>
      </w:r>
      <w:r w:rsidRPr="00310548">
        <w:rPr>
          <w:rFonts w:ascii="Wawati TC Regular" w:eastAsia="Wawati TC Regular" w:hAnsi="Wawati TC Regular" w:cs="Didot"/>
          <w:i/>
          <w:sz w:val="32"/>
          <w:szCs w:val="28"/>
        </w:rPr>
        <w:t>(3 points)</w:t>
      </w:r>
    </w:p>
    <w:p w14:paraId="43C1E519" w14:textId="77777777" w:rsidR="00310548" w:rsidRPr="00310548" w:rsidRDefault="00310548" w:rsidP="00310548">
      <w:pPr>
        <w:rPr>
          <w:rFonts w:ascii="Wawati TC Regular" w:eastAsia="Wawati TC Regular" w:hAnsi="Wawati TC Regular" w:cs="Didot"/>
          <w:sz w:val="32"/>
          <w:szCs w:val="28"/>
        </w:rPr>
      </w:pPr>
    </w:p>
    <w:p w14:paraId="007EBFE3" w14:textId="77777777" w:rsidR="00310548" w:rsidRPr="00310548" w:rsidRDefault="00310548" w:rsidP="00310548">
      <w:pPr>
        <w:pStyle w:val="Paragraphedeliste"/>
        <w:numPr>
          <w:ilvl w:val="0"/>
          <w:numId w:val="4"/>
        </w:numPr>
        <w:rPr>
          <w:rFonts w:ascii="Wawati TC Regular" w:eastAsia="Wawati TC Regular" w:hAnsi="Wawati TC Regular" w:cs="Didot"/>
          <w:i/>
          <w:sz w:val="32"/>
          <w:szCs w:val="28"/>
        </w:rPr>
      </w:pPr>
      <w:r w:rsidRPr="00310548">
        <w:rPr>
          <w:rFonts w:ascii="Wawati TC Regular" w:eastAsia="Wawati TC Regular" w:hAnsi="Wawati TC Regular" w:cs="Didot"/>
          <w:sz w:val="32"/>
          <w:szCs w:val="28"/>
        </w:rPr>
        <w:t xml:space="preserve">Différenciez la production marchande de la production non marchande </w:t>
      </w:r>
      <w:r w:rsidRPr="00310548">
        <w:rPr>
          <w:rFonts w:ascii="Wawati TC Regular" w:eastAsia="Wawati TC Regular" w:hAnsi="Wawati TC Regular" w:cs="Didot"/>
          <w:i/>
          <w:sz w:val="32"/>
          <w:szCs w:val="28"/>
        </w:rPr>
        <w:t>(3 points)</w:t>
      </w:r>
    </w:p>
    <w:p w14:paraId="199405BD" w14:textId="77777777" w:rsidR="00310548" w:rsidRPr="00256D7C" w:rsidRDefault="00310548" w:rsidP="00310548">
      <w:pPr>
        <w:rPr>
          <w:rFonts w:ascii="Wawati TC Regular" w:eastAsia="Wawati TC Regular" w:hAnsi="Wawati TC Regular" w:cs="Didot"/>
          <w:sz w:val="32"/>
          <w:szCs w:val="28"/>
        </w:rPr>
      </w:pPr>
    </w:p>
    <w:p w14:paraId="5EACE5D2" w14:textId="77777777" w:rsidR="00490EE7" w:rsidRPr="00256D7C" w:rsidRDefault="00490EE7" w:rsidP="00310548">
      <w:pPr>
        <w:jc w:val="both"/>
        <w:rPr>
          <w:rFonts w:ascii="Wawati TC Regular" w:eastAsia="Wawati TC Regular" w:hAnsi="Wawati TC Regular" w:cs="Didot"/>
          <w:sz w:val="22"/>
        </w:rPr>
      </w:pPr>
    </w:p>
    <w:p w14:paraId="681D9D08" w14:textId="77777777" w:rsidR="00490EE7" w:rsidRPr="00256D7C" w:rsidRDefault="00490EE7" w:rsidP="00310548">
      <w:pPr>
        <w:jc w:val="both"/>
        <w:rPr>
          <w:rFonts w:ascii="Wawati TC Regular" w:eastAsia="Wawati TC Regular" w:hAnsi="Wawati TC Regular" w:cs="Didot"/>
          <w:sz w:val="22"/>
        </w:rPr>
      </w:pPr>
    </w:p>
    <w:p w14:paraId="531E3D4E" w14:textId="77777777" w:rsidR="00490EE7" w:rsidRPr="00256D7C" w:rsidRDefault="00490EE7" w:rsidP="00310548">
      <w:pPr>
        <w:jc w:val="both"/>
        <w:rPr>
          <w:rFonts w:ascii="Wawati TC Regular" w:eastAsia="Wawati TC Regular" w:hAnsi="Wawati TC Regular" w:cs="Didot"/>
          <w:sz w:val="22"/>
        </w:rPr>
      </w:pPr>
      <w:bookmarkStart w:id="0" w:name="_GoBack"/>
      <w:bookmarkEnd w:id="0"/>
    </w:p>
    <w:p w14:paraId="334AF3AE" w14:textId="77777777" w:rsidR="00256D7C" w:rsidRDefault="00256D7C" w:rsidP="009E5948">
      <w:pPr>
        <w:spacing w:line="276" w:lineRule="auto"/>
        <w:rPr>
          <w:rFonts w:ascii="Wawati TC Regular" w:eastAsia="Wawati TC Regular" w:hAnsi="Wawati TC Regular" w:cs="Didot"/>
          <w:sz w:val="22"/>
        </w:rPr>
      </w:pPr>
    </w:p>
    <w:p w14:paraId="3AF28E7A" w14:textId="77777777" w:rsidR="009E5948" w:rsidRPr="00310548" w:rsidRDefault="009E5948" w:rsidP="009E5948">
      <w:pPr>
        <w:spacing w:line="276" w:lineRule="auto"/>
        <w:rPr>
          <w:rFonts w:ascii="Wawati TC Regular" w:eastAsia="Wawati TC Regular" w:hAnsi="Wawati TC Regular" w:cs="Didot"/>
          <w:b/>
          <w:sz w:val="28"/>
          <w:szCs w:val="28"/>
        </w:rPr>
      </w:pPr>
      <w:r>
        <w:rPr>
          <w:rFonts w:ascii="Wawati TC Regular" w:eastAsia="Wawati TC Regular" w:hAnsi="Wawati TC Regular" w:cs="Didot"/>
          <w:b/>
          <w:sz w:val="28"/>
          <w:szCs w:val="28"/>
        </w:rPr>
        <w:lastRenderedPageBreak/>
        <w:t>Deuxième</w:t>
      </w:r>
      <w:r w:rsidRPr="00310548">
        <w:rPr>
          <w:rFonts w:ascii="Wawati TC Regular" w:eastAsia="Wawati TC Regular" w:hAnsi="Wawati TC Regular" w:cs="Didot"/>
          <w:b/>
          <w:sz w:val="28"/>
          <w:szCs w:val="28"/>
        </w:rPr>
        <w:t xml:space="preserve"> partie : </w:t>
      </w:r>
      <w:r>
        <w:rPr>
          <w:rFonts w:ascii="Wawati TC Regular" w:eastAsia="Wawati TC Regular" w:hAnsi="Wawati TC Regular" w:cs="Didot"/>
          <w:b/>
          <w:sz w:val="28"/>
          <w:szCs w:val="28"/>
        </w:rPr>
        <w:t xml:space="preserve">étude d’un document </w:t>
      </w:r>
      <w:r>
        <w:rPr>
          <w:rFonts w:ascii="Wawati TC Regular" w:eastAsia="Wawati TC Regular" w:hAnsi="Wawati TC Regular" w:cs="Didot"/>
          <w:b/>
          <w:i/>
          <w:sz w:val="28"/>
          <w:szCs w:val="28"/>
        </w:rPr>
        <w:t>(4 points)</w:t>
      </w:r>
    </w:p>
    <w:p w14:paraId="0650A5CE" w14:textId="77777777" w:rsidR="009E5948" w:rsidRDefault="009E5948" w:rsidP="009E5948">
      <w:pPr>
        <w:jc w:val="both"/>
        <w:rPr>
          <w:rFonts w:ascii="Wawati TC Regular" w:eastAsia="Wawati TC Regular" w:hAnsi="Wawati TC Regular" w:cs="Didot"/>
          <w:sz w:val="32"/>
          <w:szCs w:val="28"/>
        </w:rPr>
      </w:pPr>
    </w:p>
    <w:p w14:paraId="5EF58E40" w14:textId="77777777" w:rsidR="008B4E95" w:rsidRDefault="008B4E95" w:rsidP="009E5948">
      <w:pPr>
        <w:jc w:val="both"/>
        <w:rPr>
          <w:rFonts w:ascii="Wawati TC Regular" w:eastAsia="Wawati TC Regular" w:hAnsi="Wawati TC Regular" w:cs="Didot"/>
          <w:sz w:val="32"/>
          <w:szCs w:val="28"/>
        </w:rPr>
      </w:pPr>
      <w:r w:rsidRPr="008B4E95">
        <w:rPr>
          <w:rFonts w:ascii="Wawati TC Regular" w:eastAsia="Wawati TC Regular" w:hAnsi="Wawati TC Regular" w:cs="Didot"/>
          <w:i/>
          <w:sz w:val="22"/>
        </w:rPr>
        <w:t>Il est demandé au candidat de répondre à la question en adoptant une démarche méthodologique rigoureuse de présentation du document, de collecte et de traitement de l'information.</w:t>
      </w:r>
    </w:p>
    <w:p w14:paraId="0D5F12DB" w14:textId="77777777" w:rsidR="008B4E95" w:rsidRDefault="008B4E95" w:rsidP="009E5948">
      <w:pPr>
        <w:jc w:val="both"/>
        <w:rPr>
          <w:rFonts w:ascii="Wawati TC Regular" w:eastAsia="Wawati TC Regular" w:hAnsi="Wawati TC Regular" w:cs="Didot"/>
          <w:sz w:val="32"/>
          <w:szCs w:val="28"/>
        </w:rPr>
      </w:pPr>
    </w:p>
    <w:p w14:paraId="13631ABA" w14:textId="77777777" w:rsidR="009E5948" w:rsidRDefault="009E5948" w:rsidP="009E5948">
      <w:pPr>
        <w:jc w:val="both"/>
        <w:rPr>
          <w:rFonts w:ascii="Wawati TC Regular" w:eastAsia="Wawati TC Regular" w:hAnsi="Wawati TC Regular" w:cs="Didot"/>
          <w:sz w:val="32"/>
          <w:szCs w:val="28"/>
        </w:rPr>
      </w:pPr>
      <w:r>
        <w:rPr>
          <w:rFonts w:ascii="Wawati TC Regular" w:eastAsia="Wawati TC Regular" w:hAnsi="Wawati TC Regular" w:cs="Didot"/>
          <w:sz w:val="32"/>
          <w:szCs w:val="28"/>
        </w:rPr>
        <w:t>Vous présenterez le document, puis vous montrerez les principales observations que l’on peut effectuer à partir de celui-ci quant aux comportements des consommateurs face aux soldes.</w:t>
      </w:r>
    </w:p>
    <w:p w14:paraId="5C0509C4" w14:textId="77777777" w:rsidR="008B4E95" w:rsidRDefault="008B4E95" w:rsidP="009E5948">
      <w:pPr>
        <w:jc w:val="both"/>
        <w:rPr>
          <w:rFonts w:ascii="Wawati TC Regular" w:eastAsia="Wawati TC Regular" w:hAnsi="Wawati TC Regular" w:cs="Didot"/>
          <w:sz w:val="32"/>
          <w:szCs w:val="28"/>
        </w:rPr>
      </w:pPr>
    </w:p>
    <w:p w14:paraId="485486E2" w14:textId="77777777" w:rsidR="008B4E95" w:rsidRPr="008B4E95" w:rsidRDefault="008B4E95" w:rsidP="008B4E95">
      <w:pPr>
        <w:jc w:val="center"/>
        <w:rPr>
          <w:rFonts w:ascii="Arial" w:eastAsia="Wawati TC Regular" w:hAnsi="Arial" w:cs="Arial"/>
          <w:b/>
          <w:color w:val="404040" w:themeColor="text1" w:themeTint="BF"/>
          <w:sz w:val="28"/>
          <w:szCs w:val="28"/>
        </w:rPr>
      </w:pPr>
      <w:r w:rsidRPr="008B4E95">
        <w:rPr>
          <w:rFonts w:ascii="Arial" w:eastAsia="Wawati TC Regular" w:hAnsi="Arial" w:cs="Arial"/>
          <w:b/>
          <w:color w:val="404040" w:themeColor="text1" w:themeTint="BF"/>
          <w:sz w:val="28"/>
          <w:szCs w:val="28"/>
        </w:rPr>
        <w:t>Achats en soldes : de plus en plus par nécessité</w:t>
      </w:r>
    </w:p>
    <w:p w14:paraId="6DC76E68" w14:textId="77777777" w:rsidR="009E5948" w:rsidRPr="008B4E95" w:rsidRDefault="008B4E95" w:rsidP="009E5948">
      <w:pPr>
        <w:jc w:val="both"/>
        <w:rPr>
          <w:rFonts w:ascii="Arial" w:eastAsia="Wawati TC Regular" w:hAnsi="Arial" w:cs="Arial"/>
          <w:b/>
          <w:color w:val="404040" w:themeColor="text1" w:themeTint="BF"/>
          <w:szCs w:val="28"/>
        </w:rPr>
      </w:pPr>
      <w:r w:rsidRPr="008B4E95">
        <w:rPr>
          <w:rFonts w:ascii="Arial" w:eastAsia="Wawati TC Regular" w:hAnsi="Arial" w:cs="Arial"/>
          <w:b/>
          <w:color w:val="404040" w:themeColor="text1" w:themeTint="BF"/>
          <w:szCs w:val="28"/>
        </w:rPr>
        <w:t>Pour vous, les soldes, c’est avant tout…  (en % des valeurs)</w:t>
      </w:r>
    </w:p>
    <w:p w14:paraId="16E3719D" w14:textId="77777777" w:rsidR="009E5948" w:rsidRDefault="009E5948" w:rsidP="009E5948">
      <w:pPr>
        <w:jc w:val="both"/>
        <w:rPr>
          <w:rFonts w:ascii="Wawati TC Regular" w:eastAsia="Wawati TC Regular" w:hAnsi="Wawati TC Regular" w:cs="Didot"/>
          <w:noProof/>
          <w:sz w:val="32"/>
          <w:szCs w:val="28"/>
        </w:rPr>
      </w:pPr>
      <w:r>
        <w:rPr>
          <w:noProof/>
        </w:rPr>
        <w:drawing>
          <wp:inline distT="0" distB="0" distL="0" distR="0" wp14:anchorId="3CB95383" wp14:editId="2CC58C1A">
            <wp:extent cx="5972810" cy="3601720"/>
            <wp:effectExtent l="0" t="0" r="21590" b="3048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D731DF2" w14:textId="77777777" w:rsidR="00256D7C" w:rsidRDefault="00256D7C" w:rsidP="009E5948">
      <w:pPr>
        <w:jc w:val="both"/>
        <w:rPr>
          <w:rFonts w:ascii="Arial" w:eastAsia="Wawati TC Regular" w:hAnsi="Arial" w:cs="Arial"/>
          <w:b/>
          <w:noProof/>
          <w:color w:val="404040" w:themeColor="text1" w:themeTint="BF"/>
          <w:sz w:val="20"/>
          <w:szCs w:val="28"/>
        </w:rPr>
      </w:pPr>
    </w:p>
    <w:p w14:paraId="2E8A41D1" w14:textId="2C86C123" w:rsidR="008B4E95" w:rsidRPr="00256D7C" w:rsidRDefault="008B4E95" w:rsidP="009E5948">
      <w:pPr>
        <w:jc w:val="both"/>
        <w:rPr>
          <w:rFonts w:ascii="Arial" w:eastAsia="Wawati TC Regular" w:hAnsi="Arial" w:cs="Arial"/>
          <w:noProof/>
          <w:color w:val="404040" w:themeColor="text1" w:themeTint="BF"/>
          <w:sz w:val="20"/>
          <w:szCs w:val="28"/>
        </w:rPr>
      </w:pPr>
      <w:r w:rsidRPr="00256D7C">
        <w:rPr>
          <w:rFonts w:ascii="Arial" w:eastAsia="Wawati TC Regular" w:hAnsi="Arial" w:cs="Arial"/>
          <w:b/>
          <w:noProof/>
          <w:color w:val="404040" w:themeColor="text1" w:themeTint="BF"/>
          <w:sz w:val="20"/>
          <w:szCs w:val="28"/>
        </w:rPr>
        <w:t>Source</w:t>
      </w:r>
      <w:r w:rsidRPr="00256D7C">
        <w:rPr>
          <w:rFonts w:ascii="Arial" w:eastAsia="Wawati TC Regular" w:hAnsi="Arial" w:cs="Arial"/>
          <w:noProof/>
          <w:color w:val="404040" w:themeColor="text1" w:themeTint="BF"/>
          <w:sz w:val="20"/>
          <w:szCs w:val="28"/>
        </w:rPr>
        <w:t xml:space="preserve"> : CRÉDOC, Enquêtes </w:t>
      </w:r>
      <w:r w:rsidRPr="00256D7C">
        <w:rPr>
          <w:rFonts w:ascii="Arial" w:eastAsia="Wawati TC Regular" w:hAnsi="Arial" w:cs="Arial"/>
          <w:noProof/>
          <w:color w:val="404040" w:themeColor="text1" w:themeTint="BF"/>
          <w:sz w:val="20"/>
          <w:szCs w:val="22"/>
        </w:rPr>
        <w:t>consommation.</w:t>
      </w:r>
      <w:r w:rsidR="00B31B16" w:rsidRPr="00256D7C">
        <w:rPr>
          <w:rFonts w:ascii="Arial" w:eastAsia="Wawati TC Regular" w:hAnsi="Arial" w:cs="Arial"/>
          <w:noProof/>
          <w:color w:val="404040" w:themeColor="text1" w:themeTint="BF"/>
          <w:sz w:val="20"/>
          <w:szCs w:val="22"/>
        </w:rPr>
        <w:t xml:space="preserve"> </w:t>
      </w:r>
      <w:r w:rsidR="00566416" w:rsidRPr="00256D7C">
        <w:rPr>
          <w:rFonts w:ascii="Arial" w:eastAsia="Wawati TC Regular" w:hAnsi="Arial" w:cs="Arial"/>
          <w:i/>
          <w:noProof/>
          <w:color w:val="404040" w:themeColor="text1" w:themeTint="BF"/>
          <w:sz w:val="20"/>
          <w:szCs w:val="22"/>
        </w:rPr>
        <w:t>Consommation et mode de vie</w:t>
      </w:r>
      <w:r w:rsidR="00566416" w:rsidRPr="00256D7C">
        <w:rPr>
          <w:rFonts w:ascii="Arial" w:eastAsia="Wawati TC Regular" w:hAnsi="Arial" w:cs="Arial"/>
          <w:noProof/>
          <w:color w:val="404040" w:themeColor="text1" w:themeTint="BF"/>
          <w:sz w:val="20"/>
          <w:szCs w:val="22"/>
        </w:rPr>
        <w:t xml:space="preserve"> </w:t>
      </w:r>
      <w:r w:rsidR="00B31B16" w:rsidRPr="00256D7C">
        <w:rPr>
          <w:rFonts w:ascii="Arial" w:eastAsia="Wawati TC Regular" w:hAnsi="Arial" w:cs="Arial"/>
          <w:noProof/>
          <w:color w:val="404040" w:themeColor="text1" w:themeTint="BF"/>
          <w:sz w:val="20"/>
          <w:szCs w:val="22"/>
        </w:rPr>
        <w:t>N°267 • juin 2014</w:t>
      </w:r>
    </w:p>
    <w:p w14:paraId="090BC818" w14:textId="77777777" w:rsidR="008B4E95" w:rsidRPr="00256D7C" w:rsidRDefault="008B4E95" w:rsidP="009E5948">
      <w:pPr>
        <w:jc w:val="both"/>
        <w:rPr>
          <w:rFonts w:ascii="Arial" w:eastAsia="Wawati TC Regular" w:hAnsi="Arial" w:cs="Arial"/>
          <w:noProof/>
          <w:color w:val="404040" w:themeColor="text1" w:themeTint="BF"/>
          <w:sz w:val="20"/>
          <w:szCs w:val="28"/>
        </w:rPr>
      </w:pPr>
      <w:r w:rsidRPr="00256D7C">
        <w:rPr>
          <w:rFonts w:ascii="Arial" w:eastAsia="Wawati TC Regular" w:hAnsi="Arial" w:cs="Arial"/>
          <w:b/>
          <w:noProof/>
          <w:color w:val="404040" w:themeColor="text1" w:themeTint="BF"/>
          <w:sz w:val="20"/>
          <w:szCs w:val="28"/>
        </w:rPr>
        <w:t>Base 2005</w:t>
      </w:r>
      <w:r w:rsidRPr="00256D7C">
        <w:rPr>
          <w:rFonts w:ascii="Arial" w:eastAsia="Wawati TC Regular" w:hAnsi="Arial" w:cs="Arial"/>
          <w:noProof/>
          <w:color w:val="404040" w:themeColor="text1" w:themeTint="BF"/>
          <w:sz w:val="20"/>
          <w:szCs w:val="28"/>
        </w:rPr>
        <w:t xml:space="preserve"> : 790 adultes de 18 ans et plus faisant toujours, parfois ou rarement les soldes (en 2012 on ne prend pas en compte les NSP).</w:t>
      </w:r>
    </w:p>
    <w:p w14:paraId="2407FA0A" w14:textId="77777777" w:rsidR="008B4E95" w:rsidRPr="00256D7C" w:rsidRDefault="008B4E95" w:rsidP="009E5948">
      <w:pPr>
        <w:jc w:val="both"/>
        <w:rPr>
          <w:rFonts w:ascii="Arial" w:eastAsia="Wawati TC Regular" w:hAnsi="Arial" w:cs="Arial"/>
          <w:noProof/>
          <w:color w:val="404040" w:themeColor="text1" w:themeTint="BF"/>
          <w:sz w:val="20"/>
          <w:szCs w:val="28"/>
        </w:rPr>
      </w:pPr>
      <w:r w:rsidRPr="00256D7C">
        <w:rPr>
          <w:rFonts w:ascii="Arial" w:eastAsia="Wawati TC Regular" w:hAnsi="Arial" w:cs="Arial"/>
          <w:b/>
          <w:noProof/>
          <w:color w:val="404040" w:themeColor="text1" w:themeTint="BF"/>
          <w:sz w:val="20"/>
          <w:szCs w:val="28"/>
        </w:rPr>
        <w:t>Base</w:t>
      </w:r>
      <w:r w:rsidRPr="00256D7C">
        <w:rPr>
          <w:rFonts w:ascii="Arial" w:eastAsia="Wawati TC Regular" w:hAnsi="Arial" w:cs="Arial"/>
          <w:noProof/>
          <w:color w:val="404040" w:themeColor="text1" w:themeTint="BF"/>
          <w:sz w:val="20"/>
          <w:szCs w:val="28"/>
        </w:rPr>
        <w:t xml:space="preserve"> : 2010 810 adultes de 18 ans et plus faisant toujours, parfois ou rarement les soldes.</w:t>
      </w:r>
    </w:p>
    <w:p w14:paraId="611029BF" w14:textId="77777777" w:rsidR="008B4E95" w:rsidRPr="00256D7C" w:rsidRDefault="008B4E95" w:rsidP="009E5948">
      <w:pPr>
        <w:jc w:val="both"/>
        <w:rPr>
          <w:rFonts w:ascii="Arial" w:eastAsia="Wawati TC Regular" w:hAnsi="Arial" w:cs="Arial"/>
          <w:noProof/>
          <w:color w:val="404040" w:themeColor="text1" w:themeTint="BF"/>
          <w:sz w:val="28"/>
          <w:szCs w:val="28"/>
        </w:rPr>
      </w:pPr>
      <w:r w:rsidRPr="00256D7C">
        <w:rPr>
          <w:rFonts w:ascii="Arial" w:eastAsia="Wawati TC Regular" w:hAnsi="Arial" w:cs="Arial"/>
          <w:b/>
          <w:noProof/>
          <w:color w:val="404040" w:themeColor="text1" w:themeTint="BF"/>
          <w:sz w:val="20"/>
          <w:szCs w:val="28"/>
        </w:rPr>
        <w:t>Base</w:t>
      </w:r>
      <w:r w:rsidRPr="00256D7C">
        <w:rPr>
          <w:rFonts w:ascii="Arial" w:eastAsia="Wawati TC Regular" w:hAnsi="Arial" w:cs="Arial"/>
          <w:noProof/>
          <w:color w:val="404040" w:themeColor="text1" w:themeTint="BF"/>
          <w:sz w:val="20"/>
          <w:szCs w:val="28"/>
        </w:rPr>
        <w:t xml:space="preserve"> : 2012 714 adultes de 18 ans et plus faisant toujours, parfois ou rarement les soldes et ne répondant pas NSP.</w:t>
      </w:r>
    </w:p>
    <w:p w14:paraId="441E759A" w14:textId="77777777" w:rsidR="009E5948" w:rsidRDefault="009E5948" w:rsidP="009E5948">
      <w:pPr>
        <w:jc w:val="both"/>
        <w:rPr>
          <w:rFonts w:ascii="Wawati TC Regular" w:eastAsia="Wawati TC Regular" w:hAnsi="Wawati TC Regular" w:cs="Didot"/>
          <w:noProof/>
          <w:sz w:val="32"/>
          <w:szCs w:val="28"/>
        </w:rPr>
      </w:pPr>
    </w:p>
    <w:p w14:paraId="4B3221FF" w14:textId="77777777" w:rsidR="009E5948" w:rsidRDefault="009E5948" w:rsidP="009E5948">
      <w:pPr>
        <w:jc w:val="both"/>
        <w:rPr>
          <w:rFonts w:ascii="Wawati TC Regular" w:eastAsia="Wawati TC Regular" w:hAnsi="Wawati TC Regular" w:cs="Didot"/>
          <w:noProof/>
          <w:sz w:val="32"/>
          <w:szCs w:val="28"/>
        </w:rPr>
      </w:pPr>
    </w:p>
    <w:p w14:paraId="5D4F0D2D" w14:textId="77777777" w:rsidR="009E5948" w:rsidRPr="00310548" w:rsidRDefault="009E5948" w:rsidP="009E5948">
      <w:pPr>
        <w:jc w:val="both"/>
        <w:rPr>
          <w:rFonts w:ascii="Wawati TC Regular" w:eastAsia="Wawati TC Regular" w:hAnsi="Wawati TC Regular" w:cs="Didot"/>
          <w:sz w:val="32"/>
          <w:szCs w:val="28"/>
        </w:rPr>
      </w:pPr>
    </w:p>
    <w:sectPr w:rsidR="009E5948" w:rsidRPr="00310548" w:rsidSect="00256D7C">
      <w:footerReference w:type="even" r:id="rId9"/>
      <w:footerReference w:type="default" r:id="rId10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2F2C6" w14:textId="77777777" w:rsidR="00EC40C0" w:rsidRDefault="00EC40C0" w:rsidP="00EA2E8C">
      <w:r>
        <w:separator/>
      </w:r>
    </w:p>
  </w:endnote>
  <w:endnote w:type="continuationSeparator" w:id="0">
    <w:p w14:paraId="3C821F2B" w14:textId="77777777" w:rsidR="00EC40C0" w:rsidRDefault="00EC40C0" w:rsidP="00EA2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Wawati TC Regular">
    <w:panose1 w:val="040B0500000000000000"/>
    <w:charset w:val="00"/>
    <w:family w:val="auto"/>
    <w:pitch w:val="variable"/>
    <w:sig w:usb0="A00000FF" w:usb1="5889787B" w:usb2="00000016" w:usb3="00000000" w:csb0="00100003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6E488" w14:textId="77777777" w:rsidR="00EC40C0" w:rsidRDefault="00EC40C0" w:rsidP="00EA2E8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920BB1C" w14:textId="77777777" w:rsidR="00EC40C0" w:rsidRDefault="00EC40C0" w:rsidP="00EA2E8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57DD4" w14:textId="51C593E7" w:rsidR="00EC40C0" w:rsidRDefault="00EC40C0" w:rsidP="00DD621A">
    <w:pPr>
      <w:pStyle w:val="Pieddepage"/>
      <w:framePr w:w="543" w:wrap="around" w:vAnchor="text" w:hAnchor="page" w:x="10599" w:y="-38"/>
      <w:ind w:right="-443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D621A">
      <w:rPr>
        <w:rStyle w:val="Numrodepage"/>
      </w:rPr>
      <w:t>1</w:t>
    </w:r>
    <w:r>
      <w:rPr>
        <w:rStyle w:val="Numrodepage"/>
      </w:rPr>
      <w:fldChar w:fldCharType="end"/>
    </w:r>
    <w:r>
      <w:rPr>
        <w:rStyle w:val="Numrodepage"/>
      </w:rPr>
      <w:t>/2</w:t>
    </w:r>
  </w:p>
  <w:p w14:paraId="5789C207" w14:textId="0F875BC7" w:rsidR="00EC40C0" w:rsidRDefault="00EC40C0" w:rsidP="00EA2E8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A6A434" w14:textId="77777777" w:rsidR="00EC40C0" w:rsidRDefault="00EC40C0" w:rsidP="00EA2E8C">
      <w:r>
        <w:separator/>
      </w:r>
    </w:p>
  </w:footnote>
  <w:footnote w:type="continuationSeparator" w:id="0">
    <w:p w14:paraId="264E87A0" w14:textId="77777777" w:rsidR="00EC40C0" w:rsidRDefault="00EC40C0" w:rsidP="00EA2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A64D2"/>
    <w:multiLevelType w:val="hybridMultilevel"/>
    <w:tmpl w:val="61381B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47974"/>
    <w:multiLevelType w:val="hybridMultilevel"/>
    <w:tmpl w:val="CED8B25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623274"/>
    <w:multiLevelType w:val="hybridMultilevel"/>
    <w:tmpl w:val="2C3E8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174204"/>
    <w:multiLevelType w:val="hybridMultilevel"/>
    <w:tmpl w:val="CEAE80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F00838"/>
    <w:multiLevelType w:val="hybridMultilevel"/>
    <w:tmpl w:val="02BC5318"/>
    <w:lvl w:ilvl="0" w:tplc="77521AA0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F2714F"/>
    <w:multiLevelType w:val="hybridMultilevel"/>
    <w:tmpl w:val="13921156"/>
    <w:lvl w:ilvl="0" w:tplc="0CD6D6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30297D"/>
    <w:multiLevelType w:val="hybridMultilevel"/>
    <w:tmpl w:val="B044C75A"/>
    <w:lvl w:ilvl="0" w:tplc="77521AA0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521"/>
    <w:rsid w:val="00050521"/>
    <w:rsid w:val="00256D7C"/>
    <w:rsid w:val="00310548"/>
    <w:rsid w:val="00490EE7"/>
    <w:rsid w:val="00566416"/>
    <w:rsid w:val="00825FB3"/>
    <w:rsid w:val="008B4E95"/>
    <w:rsid w:val="009E5948"/>
    <w:rsid w:val="00B31B16"/>
    <w:rsid w:val="00C74850"/>
    <w:rsid w:val="00DD621A"/>
    <w:rsid w:val="00EA2E8C"/>
    <w:rsid w:val="00EC40C0"/>
    <w:rsid w:val="00F7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0707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5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052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E594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5948"/>
    <w:rPr>
      <w:rFonts w:ascii="Lucida Grande" w:hAnsi="Lucida Grande" w:cs="Lucida Grande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EA2E8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A2E8C"/>
  </w:style>
  <w:style w:type="character" w:styleId="Numrodepage">
    <w:name w:val="page number"/>
    <w:basedOn w:val="Policepardfaut"/>
    <w:uiPriority w:val="99"/>
    <w:semiHidden/>
    <w:unhideWhenUsed/>
    <w:rsid w:val="00EA2E8C"/>
  </w:style>
  <w:style w:type="paragraph" w:styleId="En-tte">
    <w:name w:val="header"/>
    <w:basedOn w:val="Normal"/>
    <w:link w:val="En-tteCar"/>
    <w:uiPriority w:val="99"/>
    <w:unhideWhenUsed/>
    <w:rsid w:val="00EA2E8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A2E8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5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052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E594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5948"/>
    <w:rPr>
      <w:rFonts w:ascii="Lucida Grande" w:hAnsi="Lucida Grande" w:cs="Lucida Grande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EA2E8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A2E8C"/>
  </w:style>
  <w:style w:type="character" w:styleId="Numrodepage">
    <w:name w:val="page number"/>
    <w:basedOn w:val="Policepardfaut"/>
    <w:uiPriority w:val="99"/>
    <w:semiHidden/>
    <w:unhideWhenUsed/>
    <w:rsid w:val="00EA2E8C"/>
  </w:style>
  <w:style w:type="paragraph" w:styleId="En-tte">
    <w:name w:val="header"/>
    <w:basedOn w:val="Normal"/>
    <w:link w:val="En-tteCar"/>
    <w:uiPriority w:val="99"/>
    <w:unhideWhenUsed/>
    <w:rsid w:val="00EA2E8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A2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hart" Target="charts/chart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lasseur2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Feuil1!$A$3</c:f>
              <c:strCache>
                <c:ptCount val="1"/>
                <c:pt idx="0">
                  <c:v>Une nécessité</c:v>
                </c:pt>
              </c:strCache>
            </c:strRef>
          </c:tx>
          <c:spPr>
            <a:solidFill>
              <a:schemeClr val="tx1">
                <a:lumMod val="65000"/>
                <a:lumOff val="35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 sz="1200">
                    <a:solidFill>
                      <a:schemeClr val="tx1">
                        <a:lumMod val="85000"/>
                        <a:lumOff val="15000"/>
                      </a:schemeClr>
                    </a:solidFill>
                    <a:latin typeface="Arial Black"/>
                  </a:defRPr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Feuil1!$B$2:$D$2</c:f>
              <c:numCache>
                <c:formatCode>General</c:formatCode>
                <c:ptCount val="3"/>
                <c:pt idx="0">
                  <c:v>2005.0</c:v>
                </c:pt>
                <c:pt idx="1">
                  <c:v>2010.0</c:v>
                </c:pt>
                <c:pt idx="2">
                  <c:v>2012.0</c:v>
                </c:pt>
              </c:numCache>
            </c:numRef>
          </c:cat>
          <c:val>
            <c:numRef>
              <c:f>Feuil1!$B$3:$D$3</c:f>
              <c:numCache>
                <c:formatCode>General</c:formatCode>
                <c:ptCount val="3"/>
                <c:pt idx="0">
                  <c:v>47.0</c:v>
                </c:pt>
                <c:pt idx="1">
                  <c:v>56.0</c:v>
                </c:pt>
                <c:pt idx="2">
                  <c:v>62.0</c:v>
                </c:pt>
              </c:numCache>
            </c:numRef>
          </c:val>
        </c:ser>
        <c:ser>
          <c:idx val="1"/>
          <c:order val="1"/>
          <c:tx>
            <c:strRef>
              <c:f>Feuil1!$A$4</c:f>
              <c:strCache>
                <c:ptCount val="1"/>
                <c:pt idx="0">
                  <c:v>Un plaisir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noFill/>
            </a:ln>
          </c:spPr>
          <c:invertIfNegative val="0"/>
          <c:dLbls>
            <c:txPr>
              <a:bodyPr/>
              <a:lstStyle/>
              <a:p>
                <a:pPr>
                  <a:defRPr sz="1200">
                    <a:solidFill>
                      <a:schemeClr val="tx1">
                        <a:lumMod val="85000"/>
                        <a:lumOff val="15000"/>
                      </a:schemeClr>
                    </a:solidFill>
                    <a:latin typeface="Arial Black"/>
                  </a:defRPr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Feuil1!$B$2:$D$2</c:f>
              <c:numCache>
                <c:formatCode>General</c:formatCode>
                <c:ptCount val="3"/>
                <c:pt idx="0">
                  <c:v>2005.0</c:v>
                </c:pt>
                <c:pt idx="1">
                  <c:v>2010.0</c:v>
                </c:pt>
                <c:pt idx="2">
                  <c:v>2012.0</c:v>
                </c:pt>
              </c:numCache>
            </c:numRef>
          </c:cat>
          <c:val>
            <c:numRef>
              <c:f>Feuil1!$B$4:$D$4</c:f>
              <c:numCache>
                <c:formatCode>General</c:formatCode>
                <c:ptCount val="3"/>
                <c:pt idx="0">
                  <c:v>53.0</c:v>
                </c:pt>
                <c:pt idx="1">
                  <c:v>44.0</c:v>
                </c:pt>
                <c:pt idx="2">
                  <c:v>38.0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-2009986136"/>
        <c:axId val="-2060734024"/>
      </c:barChart>
      <c:catAx>
        <c:axId val="-2009986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>
                <a:solidFill>
                  <a:schemeClr val="tx1">
                    <a:lumMod val="85000"/>
                    <a:lumOff val="15000"/>
                  </a:schemeClr>
                </a:solidFill>
                <a:latin typeface="Avenir Black"/>
              </a:defRPr>
            </a:pPr>
            <a:endParaRPr lang="fr-FR"/>
          </a:p>
        </c:txPr>
        <c:crossAx val="-2060734024"/>
        <c:crosses val="autoZero"/>
        <c:auto val="1"/>
        <c:lblAlgn val="ctr"/>
        <c:lblOffset val="100"/>
        <c:noMultiLvlLbl val="0"/>
      </c:catAx>
      <c:valAx>
        <c:axId val="-20607340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>
                <a:solidFill>
                  <a:schemeClr val="tx1">
                    <a:lumMod val="85000"/>
                    <a:lumOff val="15000"/>
                  </a:schemeClr>
                </a:solidFill>
                <a:latin typeface="Arial Black"/>
              </a:defRPr>
            </a:pPr>
            <a:endParaRPr lang="fr-FR"/>
          </a:p>
        </c:txPr>
        <c:crossAx val="-2009986136"/>
        <c:crosses val="autoZero"/>
        <c:crossBetween val="between"/>
      </c:valAx>
    </c:plotArea>
    <c:legend>
      <c:legendPos val="b"/>
      <c:layout/>
      <c:overlay val="0"/>
      <c:txPr>
        <a:bodyPr/>
        <a:lstStyle/>
        <a:p>
          <a:pPr>
            <a:defRPr sz="1400">
              <a:latin typeface="Arial Black"/>
            </a:defRPr>
          </a:pPr>
          <a:endParaRPr lang="fr-FR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277</Words>
  <Characters>1526</Characters>
  <Application>Microsoft Macintosh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Movses YEREMIAN</dc:creator>
  <cp:keywords/>
  <dc:description/>
  <cp:lastModifiedBy>Movses YEREMIAN</cp:lastModifiedBy>
  <cp:revision>5</cp:revision>
  <cp:lastPrinted>2015-10-07T17:49:00Z</cp:lastPrinted>
  <dcterms:created xsi:type="dcterms:W3CDTF">2015-10-05T20:10:00Z</dcterms:created>
  <dcterms:modified xsi:type="dcterms:W3CDTF">2015-10-07T17:51:00Z</dcterms:modified>
</cp:coreProperties>
</file>